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2F" w:rsidRDefault="00923DB4" w:rsidP="00BE112F">
      <w:pPr>
        <w:spacing w:after="0" w:line="240" w:lineRule="auto"/>
        <w:jc w:val="center"/>
        <w:rPr>
          <w:rFonts w:ascii="Arial" w:hAnsi="Arial" w:cs="Arial"/>
          <w:b/>
          <w:sz w:val="28"/>
          <w:szCs w:val="28"/>
        </w:rPr>
      </w:pPr>
      <w:r>
        <w:rPr>
          <w:rFonts w:ascii="Arial" w:hAnsi="Arial" w:cs="Arial"/>
          <w:b/>
          <w:sz w:val="28"/>
          <w:szCs w:val="28"/>
        </w:rPr>
        <w:t xml:space="preserve"> </w:t>
      </w:r>
      <w:r w:rsidR="00BE112F">
        <w:rPr>
          <w:rFonts w:ascii="Arial" w:hAnsi="Arial" w:cs="Arial"/>
          <w:b/>
          <w:sz w:val="28"/>
          <w:szCs w:val="28"/>
        </w:rPr>
        <w:t>AVISO DE PRIVACIDAD SIMPLIFICADO</w:t>
      </w:r>
    </w:p>
    <w:p w:rsidR="00BE112F" w:rsidRDefault="00BE112F" w:rsidP="00BE112F">
      <w:pPr>
        <w:spacing w:after="0" w:line="240" w:lineRule="auto"/>
        <w:jc w:val="center"/>
        <w:rPr>
          <w:rFonts w:ascii="Arial" w:hAnsi="Arial" w:cs="Arial"/>
          <w:b/>
          <w:sz w:val="28"/>
          <w:szCs w:val="28"/>
        </w:rPr>
      </w:pPr>
      <w:r>
        <w:rPr>
          <w:rFonts w:ascii="Arial" w:hAnsi="Arial" w:cs="Arial"/>
          <w:b/>
          <w:sz w:val="28"/>
          <w:szCs w:val="28"/>
        </w:rPr>
        <w:t xml:space="preserve">CONTRALORIA GENERAL INTERNA Y ÓRGANO </w:t>
      </w:r>
      <w:r w:rsidR="006157E9">
        <w:rPr>
          <w:rFonts w:ascii="Arial" w:hAnsi="Arial" w:cs="Arial"/>
          <w:b/>
          <w:sz w:val="28"/>
          <w:szCs w:val="28"/>
        </w:rPr>
        <w:t xml:space="preserve">INTERNO </w:t>
      </w:r>
      <w:r>
        <w:rPr>
          <w:rFonts w:ascii="Arial" w:hAnsi="Arial" w:cs="Arial"/>
          <w:b/>
          <w:sz w:val="28"/>
          <w:szCs w:val="28"/>
        </w:rPr>
        <w:t>DE CONTROL</w:t>
      </w:r>
    </w:p>
    <w:p w:rsidR="00BE112F" w:rsidRPr="00DF42C0" w:rsidRDefault="00BE112F" w:rsidP="00BE112F">
      <w:pPr>
        <w:spacing w:after="0" w:line="240" w:lineRule="auto"/>
        <w:jc w:val="center"/>
        <w:rPr>
          <w:rFonts w:ascii="Arial" w:hAnsi="Arial" w:cs="Arial"/>
          <w:b/>
          <w:sz w:val="28"/>
          <w:szCs w:val="28"/>
        </w:rPr>
      </w:pPr>
      <w:r w:rsidRPr="00DF42C0">
        <w:rPr>
          <w:rFonts w:ascii="Arial" w:hAnsi="Arial" w:cs="Arial"/>
          <w:b/>
          <w:sz w:val="28"/>
          <w:szCs w:val="28"/>
        </w:rPr>
        <w:t>“HOSPITAL CIVIL DE GUADALAJARA”</w:t>
      </w:r>
    </w:p>
    <w:p w:rsidR="00CF5885" w:rsidRPr="00DF42C0" w:rsidRDefault="00CF5885" w:rsidP="00CF5885">
      <w:pPr>
        <w:ind w:right="49"/>
        <w:jc w:val="both"/>
        <w:rPr>
          <w:rFonts w:ascii="Arial" w:hAnsi="Arial" w:cs="Arial"/>
          <w:b/>
          <w:sz w:val="28"/>
          <w:szCs w:val="28"/>
        </w:rPr>
      </w:pPr>
    </w:p>
    <w:p w:rsidR="00CF5885" w:rsidRDefault="00CF5885" w:rsidP="00CF5885">
      <w:pPr>
        <w:autoSpaceDE w:val="0"/>
        <w:autoSpaceDN w:val="0"/>
        <w:adjustRightInd w:val="0"/>
        <w:spacing w:after="0" w:line="240" w:lineRule="auto"/>
        <w:ind w:right="49"/>
        <w:jc w:val="both"/>
        <w:rPr>
          <w:rFonts w:ascii="Arial" w:hAnsi="Arial" w:cs="Arial"/>
          <w:color w:val="000000"/>
          <w:sz w:val="24"/>
          <w:szCs w:val="24"/>
        </w:rPr>
      </w:pPr>
      <w:r w:rsidRPr="00DF42C0">
        <w:rPr>
          <w:rFonts w:ascii="Arial" w:hAnsi="Arial" w:cs="Arial"/>
          <w:color w:val="000000"/>
          <w:sz w:val="24"/>
          <w:szCs w:val="24"/>
        </w:rPr>
        <w:t xml:space="preserve">El “Hospital Civil de Guadalajara” con domicilio en Coronel Calderón 777, colonia El Retiro, Código Postal 44280, es la autoridad responsable del tratamiento de los datos personales que se </w:t>
      </w:r>
      <w:r>
        <w:rPr>
          <w:rFonts w:ascii="Arial" w:hAnsi="Arial" w:cs="Arial"/>
          <w:color w:val="000000"/>
          <w:sz w:val="24"/>
          <w:szCs w:val="24"/>
        </w:rPr>
        <w:t xml:space="preserve">recaben en la Contraloría General Interna y Órgano </w:t>
      </w:r>
      <w:r w:rsidR="00DB0D89">
        <w:rPr>
          <w:rFonts w:ascii="Arial" w:hAnsi="Arial" w:cs="Arial"/>
          <w:color w:val="000000"/>
          <w:sz w:val="24"/>
          <w:szCs w:val="24"/>
        </w:rPr>
        <w:t xml:space="preserve">Interno </w:t>
      </w:r>
      <w:r>
        <w:rPr>
          <w:rFonts w:ascii="Arial" w:hAnsi="Arial" w:cs="Arial"/>
          <w:color w:val="000000"/>
          <w:sz w:val="24"/>
          <w:szCs w:val="24"/>
        </w:rPr>
        <w:t>de Control del “</w:t>
      </w:r>
      <w:r w:rsidRPr="00DF42C0">
        <w:rPr>
          <w:rFonts w:ascii="Arial" w:hAnsi="Arial" w:cs="Arial"/>
          <w:color w:val="000000"/>
          <w:sz w:val="24"/>
          <w:szCs w:val="24"/>
        </w:rPr>
        <w:t>Hospital Civil de Guadalajara</w:t>
      </w:r>
      <w:r>
        <w:rPr>
          <w:rFonts w:ascii="Arial" w:hAnsi="Arial" w:cs="Arial"/>
          <w:color w:val="000000"/>
          <w:sz w:val="24"/>
          <w:szCs w:val="24"/>
        </w:rPr>
        <w:t xml:space="preserve">” </w:t>
      </w:r>
      <w:r w:rsidRPr="00DF42C0">
        <w:rPr>
          <w:rFonts w:ascii="Arial" w:hAnsi="Arial" w:cs="Arial"/>
          <w:color w:val="000000"/>
          <w:sz w:val="24"/>
          <w:szCs w:val="24"/>
        </w:rPr>
        <w:t xml:space="preserve">y al respecto le informa lo siguiente: </w:t>
      </w:r>
    </w:p>
    <w:p w:rsidR="00DB0D89" w:rsidRPr="00DF42C0" w:rsidRDefault="00DB0D89" w:rsidP="00CF5885">
      <w:pPr>
        <w:autoSpaceDE w:val="0"/>
        <w:autoSpaceDN w:val="0"/>
        <w:adjustRightInd w:val="0"/>
        <w:spacing w:after="0" w:line="240" w:lineRule="auto"/>
        <w:ind w:right="49"/>
        <w:jc w:val="both"/>
        <w:rPr>
          <w:rFonts w:ascii="Arial" w:hAnsi="Arial" w:cs="Arial"/>
          <w:color w:val="000000"/>
          <w:sz w:val="24"/>
          <w:szCs w:val="24"/>
        </w:rPr>
      </w:pPr>
    </w:p>
    <w:p w:rsidR="00DF42C0" w:rsidRPr="00DF42C0" w:rsidRDefault="00DF42C0" w:rsidP="00DF42C0">
      <w:pPr>
        <w:autoSpaceDE w:val="0"/>
        <w:autoSpaceDN w:val="0"/>
        <w:adjustRightInd w:val="0"/>
        <w:spacing w:before="240"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F5885" w:rsidRDefault="00CF5885" w:rsidP="00CF5885">
      <w:pPr>
        <w:pStyle w:val="Prrafodelista"/>
        <w:numPr>
          <w:ilvl w:val="0"/>
          <w:numId w:val="7"/>
        </w:numPr>
        <w:spacing w:line="259" w:lineRule="auto"/>
        <w:jc w:val="both"/>
        <w:rPr>
          <w:rFonts w:ascii="Arial" w:hAnsi="Arial" w:cs="Arial"/>
          <w:sz w:val="24"/>
          <w:szCs w:val="24"/>
        </w:rPr>
      </w:pPr>
      <w:r w:rsidRPr="004E1249">
        <w:rPr>
          <w:rFonts w:ascii="Arial" w:hAnsi="Arial" w:cs="Arial"/>
          <w:sz w:val="24"/>
          <w:szCs w:val="24"/>
        </w:rPr>
        <w:t>Tomar declaraciones.</w:t>
      </w:r>
    </w:p>
    <w:p w:rsidR="00CF5885" w:rsidRDefault="00CF5885" w:rsidP="00CF5885">
      <w:pPr>
        <w:pStyle w:val="Prrafodelista"/>
        <w:numPr>
          <w:ilvl w:val="0"/>
          <w:numId w:val="7"/>
        </w:numPr>
        <w:spacing w:line="259" w:lineRule="auto"/>
        <w:jc w:val="both"/>
        <w:rPr>
          <w:rFonts w:ascii="Arial" w:hAnsi="Arial" w:cs="Arial"/>
          <w:sz w:val="24"/>
          <w:szCs w:val="24"/>
        </w:rPr>
      </w:pPr>
      <w:r>
        <w:rPr>
          <w:rFonts w:ascii="Arial" w:hAnsi="Arial" w:cs="Arial"/>
          <w:sz w:val="24"/>
          <w:szCs w:val="24"/>
        </w:rPr>
        <w:t>Recepción de quejas y denuncias</w:t>
      </w:r>
    </w:p>
    <w:p w:rsidR="00CF5885" w:rsidRPr="004E1249" w:rsidRDefault="00CF5885" w:rsidP="00CF5885">
      <w:pPr>
        <w:pStyle w:val="Prrafodelista"/>
        <w:numPr>
          <w:ilvl w:val="0"/>
          <w:numId w:val="7"/>
        </w:numPr>
        <w:spacing w:line="259" w:lineRule="auto"/>
        <w:jc w:val="both"/>
        <w:rPr>
          <w:rFonts w:ascii="Arial" w:hAnsi="Arial" w:cs="Arial"/>
          <w:sz w:val="24"/>
          <w:szCs w:val="24"/>
        </w:rPr>
      </w:pPr>
      <w:r w:rsidRPr="004E1249">
        <w:rPr>
          <w:rFonts w:ascii="Arial" w:hAnsi="Arial" w:cs="Arial"/>
          <w:sz w:val="24"/>
          <w:szCs w:val="24"/>
        </w:rPr>
        <w:t>Levantar actas de comparecencia.</w:t>
      </w:r>
    </w:p>
    <w:p w:rsidR="00CF5885" w:rsidRPr="004E1249" w:rsidRDefault="00CF5885" w:rsidP="00CF5885">
      <w:pPr>
        <w:pStyle w:val="Prrafodelista"/>
        <w:numPr>
          <w:ilvl w:val="0"/>
          <w:numId w:val="7"/>
        </w:numPr>
        <w:spacing w:line="259" w:lineRule="auto"/>
        <w:jc w:val="both"/>
        <w:rPr>
          <w:rFonts w:ascii="Arial" w:hAnsi="Arial" w:cs="Arial"/>
          <w:sz w:val="24"/>
          <w:szCs w:val="24"/>
        </w:rPr>
      </w:pPr>
      <w:r w:rsidRPr="004E1249">
        <w:rPr>
          <w:rFonts w:ascii="Arial" w:hAnsi="Arial" w:cs="Arial"/>
          <w:sz w:val="24"/>
          <w:szCs w:val="24"/>
        </w:rPr>
        <w:t xml:space="preserve">Integrar actas de investigación. </w:t>
      </w:r>
    </w:p>
    <w:p w:rsidR="00CF5885" w:rsidRPr="004E1249" w:rsidRDefault="00CF5885" w:rsidP="00CF5885">
      <w:pPr>
        <w:pStyle w:val="Prrafodelista"/>
        <w:numPr>
          <w:ilvl w:val="0"/>
          <w:numId w:val="7"/>
        </w:numPr>
        <w:spacing w:after="0" w:line="240" w:lineRule="auto"/>
        <w:ind w:right="49"/>
        <w:jc w:val="both"/>
        <w:rPr>
          <w:rFonts w:ascii="Arial" w:hAnsi="Arial" w:cs="Arial"/>
          <w:b/>
          <w:sz w:val="28"/>
          <w:szCs w:val="28"/>
        </w:rPr>
      </w:pPr>
      <w:r w:rsidRPr="004E1249">
        <w:rPr>
          <w:rFonts w:ascii="Arial" w:hAnsi="Arial" w:cs="Arial"/>
          <w:sz w:val="24"/>
          <w:szCs w:val="24"/>
        </w:rPr>
        <w:t xml:space="preserve">Llevar a cabo la calificación de la investigación.  </w:t>
      </w:r>
    </w:p>
    <w:p w:rsidR="00CF5885" w:rsidRPr="004E1249" w:rsidRDefault="00CF5885" w:rsidP="00CF5885">
      <w:pPr>
        <w:pStyle w:val="Prrafodelista"/>
        <w:numPr>
          <w:ilvl w:val="0"/>
          <w:numId w:val="7"/>
        </w:numPr>
        <w:spacing w:after="0" w:line="240" w:lineRule="auto"/>
        <w:ind w:right="49"/>
        <w:jc w:val="both"/>
        <w:rPr>
          <w:rFonts w:ascii="Arial" w:hAnsi="Arial" w:cs="Arial"/>
          <w:b/>
          <w:sz w:val="28"/>
          <w:szCs w:val="28"/>
        </w:rPr>
      </w:pPr>
      <w:r w:rsidRPr="004E1249">
        <w:rPr>
          <w:rFonts w:ascii="Arial" w:hAnsi="Arial" w:cs="Arial"/>
          <w:color w:val="000000" w:themeColor="text1"/>
          <w:sz w:val="24"/>
          <w:szCs w:val="24"/>
        </w:rPr>
        <w:t xml:space="preserve">Creación de claves de usuario y contraseñas para el acceso de los servidores públicos a plataforma para presentación de declaración patrimonial inicial.  </w:t>
      </w:r>
    </w:p>
    <w:p w:rsidR="00CF5885" w:rsidRPr="004E1249" w:rsidRDefault="00CF5885" w:rsidP="00CF5885">
      <w:pPr>
        <w:pStyle w:val="Prrafodelista"/>
        <w:numPr>
          <w:ilvl w:val="0"/>
          <w:numId w:val="7"/>
        </w:numPr>
        <w:spacing w:after="0" w:line="240" w:lineRule="auto"/>
        <w:ind w:right="49"/>
        <w:jc w:val="both"/>
        <w:rPr>
          <w:rFonts w:ascii="Arial" w:hAnsi="Arial" w:cs="Arial"/>
          <w:b/>
          <w:sz w:val="28"/>
          <w:szCs w:val="28"/>
        </w:rPr>
      </w:pPr>
      <w:r w:rsidRPr="004E1249">
        <w:rPr>
          <w:rFonts w:ascii="Arial" w:hAnsi="Arial" w:cs="Arial"/>
          <w:sz w:val="24"/>
          <w:szCs w:val="24"/>
        </w:rPr>
        <w:t>Trámite, seguimiento y resolución de los procedimientos de responsabilidad administrativa del trabajador o usuario quejoso y/o denunciante.</w:t>
      </w:r>
    </w:p>
    <w:p w:rsidR="000A758B" w:rsidRDefault="00CF5885" w:rsidP="00CF5885">
      <w:pPr>
        <w:pStyle w:val="Prrafodelista"/>
        <w:numPr>
          <w:ilvl w:val="0"/>
          <w:numId w:val="7"/>
        </w:numPr>
        <w:jc w:val="both"/>
        <w:rPr>
          <w:rFonts w:ascii="Arial" w:hAnsi="Arial" w:cs="Arial"/>
          <w:sz w:val="24"/>
          <w:szCs w:val="24"/>
        </w:rPr>
      </w:pPr>
      <w:r w:rsidRPr="00C3043B">
        <w:rPr>
          <w:rFonts w:ascii="Arial" w:hAnsi="Arial" w:cs="Arial"/>
          <w:sz w:val="24"/>
          <w:szCs w:val="24"/>
        </w:rPr>
        <w:t xml:space="preserve">Realizar auditorías internas.     </w:t>
      </w:r>
    </w:p>
    <w:p w:rsidR="00CF5885" w:rsidRPr="00C3043B" w:rsidRDefault="000A758B" w:rsidP="00CF5885">
      <w:pPr>
        <w:pStyle w:val="Prrafodelista"/>
        <w:numPr>
          <w:ilvl w:val="0"/>
          <w:numId w:val="7"/>
        </w:numPr>
        <w:jc w:val="both"/>
        <w:rPr>
          <w:rFonts w:ascii="Arial" w:hAnsi="Arial" w:cs="Arial"/>
          <w:sz w:val="24"/>
          <w:szCs w:val="24"/>
        </w:rPr>
      </w:pPr>
      <w:r>
        <w:rPr>
          <w:rFonts w:ascii="Arial" w:hAnsi="Arial" w:cs="Arial"/>
          <w:sz w:val="24"/>
          <w:szCs w:val="24"/>
        </w:rPr>
        <w:t>Presentación de denuncias.</w:t>
      </w:r>
      <w:r w:rsidRPr="00C3043B">
        <w:rPr>
          <w:rFonts w:ascii="Arial" w:hAnsi="Arial" w:cs="Arial"/>
          <w:sz w:val="24"/>
          <w:szCs w:val="24"/>
        </w:rPr>
        <w:t xml:space="preserve">  </w:t>
      </w:r>
      <w:r w:rsidR="00CF5885" w:rsidRPr="00C3043B">
        <w:rPr>
          <w:rFonts w:ascii="Arial" w:hAnsi="Arial" w:cs="Arial"/>
          <w:sz w:val="24"/>
          <w:szCs w:val="24"/>
        </w:rPr>
        <w:t xml:space="preserve">                                                        </w:t>
      </w:r>
    </w:p>
    <w:p w:rsidR="00CF5885" w:rsidRPr="00C3043B" w:rsidRDefault="00CF5885" w:rsidP="00CF5885">
      <w:pPr>
        <w:pStyle w:val="Prrafodelista"/>
        <w:numPr>
          <w:ilvl w:val="0"/>
          <w:numId w:val="7"/>
        </w:numPr>
        <w:spacing w:after="0" w:line="240" w:lineRule="auto"/>
        <w:ind w:right="49"/>
        <w:jc w:val="both"/>
        <w:rPr>
          <w:rFonts w:ascii="Arial" w:hAnsi="Arial" w:cs="Arial"/>
          <w:b/>
          <w:sz w:val="28"/>
          <w:szCs w:val="28"/>
        </w:rPr>
      </w:pPr>
      <w:r w:rsidRPr="00C3043B">
        <w:rPr>
          <w:rFonts w:ascii="Arial" w:hAnsi="Arial" w:cs="Arial"/>
          <w:sz w:val="24"/>
          <w:szCs w:val="24"/>
        </w:rPr>
        <w:t>Llevar a cabo el Proceso de Entregas- Recepción.</w:t>
      </w:r>
    </w:p>
    <w:p w:rsidR="00945875" w:rsidRDefault="00945875" w:rsidP="00DF42C0">
      <w:pPr>
        <w:spacing w:after="0" w:line="240" w:lineRule="auto"/>
        <w:ind w:right="49"/>
        <w:jc w:val="both"/>
        <w:rPr>
          <w:rFonts w:ascii="Arial" w:hAnsi="Arial" w:cs="Arial"/>
          <w:b/>
          <w:color w:val="000000" w:themeColor="text1"/>
          <w:sz w:val="28"/>
          <w:szCs w:val="28"/>
        </w:rPr>
      </w:pPr>
    </w:p>
    <w:p w:rsidR="00FB33E8" w:rsidRDefault="00FB33E8" w:rsidP="00DF42C0">
      <w:pPr>
        <w:spacing w:after="0" w:line="240" w:lineRule="auto"/>
        <w:ind w:right="49"/>
        <w:jc w:val="both"/>
        <w:rPr>
          <w:rFonts w:ascii="Arial" w:hAnsi="Arial" w:cs="Arial"/>
          <w:b/>
          <w:color w:val="000000" w:themeColor="text1"/>
          <w:sz w:val="28"/>
          <w:szCs w:val="28"/>
        </w:rPr>
      </w:pPr>
    </w:p>
    <w:p w:rsidR="00DF42C0" w:rsidRP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DF42C0" w:rsidRPr="00DF42C0" w:rsidRDefault="00DF42C0" w:rsidP="00DF42C0">
      <w:pPr>
        <w:spacing w:after="0" w:line="240" w:lineRule="auto"/>
        <w:ind w:right="49"/>
        <w:jc w:val="both"/>
        <w:rPr>
          <w:rFonts w:ascii="Arial" w:hAnsi="Arial" w:cs="Arial"/>
          <w:color w:val="000000" w:themeColor="text1"/>
          <w:sz w:val="24"/>
          <w:szCs w:val="24"/>
        </w:rPr>
      </w:pPr>
    </w:p>
    <w:p w:rsidR="00CF5885" w:rsidRPr="00CF5885" w:rsidRDefault="007C604E" w:rsidP="00CF5885">
      <w:pPr>
        <w:spacing w:after="0" w:line="240" w:lineRule="auto"/>
        <w:ind w:right="49"/>
        <w:jc w:val="both"/>
        <w:rPr>
          <w:rFonts w:ascii="Arial" w:hAnsi="Arial" w:cs="Arial"/>
          <w:color w:val="000000" w:themeColor="text1"/>
          <w:sz w:val="24"/>
          <w:szCs w:val="24"/>
        </w:rPr>
      </w:pPr>
      <w:r>
        <w:rPr>
          <w:rFonts w:ascii="Arial" w:hAnsi="Arial" w:cs="Arial"/>
          <w:color w:val="000000"/>
          <w:sz w:val="24"/>
          <w:szCs w:val="24"/>
        </w:rPr>
        <w:t xml:space="preserve">La </w:t>
      </w:r>
      <w:r w:rsidR="00CF5885">
        <w:rPr>
          <w:rFonts w:ascii="Arial" w:hAnsi="Arial" w:cs="Arial"/>
          <w:color w:val="000000"/>
          <w:sz w:val="24"/>
          <w:szCs w:val="24"/>
        </w:rPr>
        <w:t xml:space="preserve">Contraloría General Interna y Órgano </w:t>
      </w:r>
      <w:r w:rsidR="00DB0D89">
        <w:rPr>
          <w:rFonts w:ascii="Arial" w:hAnsi="Arial" w:cs="Arial"/>
          <w:color w:val="000000"/>
          <w:sz w:val="24"/>
          <w:szCs w:val="24"/>
        </w:rPr>
        <w:t xml:space="preserve">Interno </w:t>
      </w:r>
      <w:r w:rsidR="00CF5885">
        <w:rPr>
          <w:rFonts w:ascii="Arial" w:hAnsi="Arial" w:cs="Arial"/>
          <w:color w:val="000000"/>
          <w:sz w:val="24"/>
          <w:szCs w:val="24"/>
        </w:rPr>
        <w:t>de Control del “</w:t>
      </w:r>
      <w:r w:rsidR="00CF5885" w:rsidRPr="00DF42C0">
        <w:rPr>
          <w:rFonts w:ascii="Arial" w:hAnsi="Arial" w:cs="Arial"/>
          <w:color w:val="000000"/>
          <w:sz w:val="24"/>
          <w:szCs w:val="24"/>
        </w:rPr>
        <w:t>Hospital Civil de Guadalajara</w:t>
      </w:r>
      <w:r w:rsidR="00CF5885">
        <w:rPr>
          <w:rFonts w:ascii="Arial" w:hAnsi="Arial" w:cs="Arial"/>
          <w:color w:val="000000"/>
          <w:sz w:val="24"/>
          <w:szCs w:val="24"/>
        </w:rPr>
        <w:t xml:space="preserve">” </w:t>
      </w:r>
      <w:r w:rsidR="00CF5885" w:rsidRPr="00CF5885">
        <w:rPr>
          <w:rFonts w:ascii="Arial" w:hAnsi="Arial" w:cs="Arial"/>
          <w:color w:val="000000" w:themeColor="text1"/>
          <w:sz w:val="24"/>
          <w:szCs w:val="24"/>
        </w:rPr>
        <w:t>en términos de lo dispuesto por el artículo 75 de la Ley de Protección de Datos Personales en Posesión de Sujetos Obligados del Estado de Jalisco y sus Municipios, lleva a cabo transferencias de datos personales para las siguientes finalidades y respecto de las cuales no se requiere de su autorización:</w:t>
      </w:r>
    </w:p>
    <w:p w:rsidR="00CF5885" w:rsidRDefault="00CF5885" w:rsidP="00CF5885">
      <w:pPr>
        <w:spacing w:after="0" w:line="240" w:lineRule="auto"/>
        <w:ind w:right="49"/>
        <w:jc w:val="both"/>
        <w:rPr>
          <w:rFonts w:ascii="Arial" w:hAnsi="Arial" w:cs="Arial"/>
          <w:color w:val="000000" w:themeColor="text1"/>
          <w:sz w:val="24"/>
          <w:szCs w:val="24"/>
        </w:rPr>
      </w:pPr>
    </w:p>
    <w:p w:rsidR="00DB0D89" w:rsidRPr="00CF5885" w:rsidRDefault="00DB0D89" w:rsidP="00CF5885">
      <w:pPr>
        <w:spacing w:after="0" w:line="240" w:lineRule="auto"/>
        <w:ind w:right="49"/>
        <w:jc w:val="both"/>
        <w:rPr>
          <w:rFonts w:ascii="Arial" w:hAnsi="Arial" w:cs="Arial"/>
          <w:color w:val="000000" w:themeColor="text1"/>
          <w:sz w:val="24"/>
          <w:szCs w:val="24"/>
        </w:rPr>
      </w:pPr>
    </w:p>
    <w:p w:rsidR="003702EC" w:rsidRDefault="00CF5885" w:rsidP="003702EC">
      <w:pPr>
        <w:spacing w:after="0"/>
        <w:jc w:val="both"/>
        <w:rPr>
          <w:rFonts w:ascii="Arial" w:hAnsi="Arial" w:cs="Arial"/>
          <w:sz w:val="24"/>
          <w:szCs w:val="24"/>
        </w:rPr>
      </w:pPr>
      <w:r>
        <w:rPr>
          <w:rFonts w:ascii="Arial" w:hAnsi="Arial" w:cs="Arial"/>
          <w:sz w:val="24"/>
          <w:szCs w:val="24"/>
        </w:rPr>
        <w:lastRenderedPageBreak/>
        <w:t>F</w:t>
      </w:r>
      <w:r w:rsidR="008D6B69">
        <w:rPr>
          <w:rFonts w:ascii="Arial" w:hAnsi="Arial" w:cs="Arial"/>
          <w:sz w:val="24"/>
          <w:szCs w:val="24"/>
        </w:rPr>
        <w:t>iscalía del Estado de Jalisco:</w:t>
      </w:r>
    </w:p>
    <w:p w:rsidR="00CF5885" w:rsidRPr="003702EC" w:rsidRDefault="008D6B69" w:rsidP="003702EC">
      <w:pPr>
        <w:pStyle w:val="Prrafodelista"/>
        <w:numPr>
          <w:ilvl w:val="0"/>
          <w:numId w:val="12"/>
        </w:numPr>
        <w:spacing w:after="0"/>
        <w:jc w:val="both"/>
        <w:rPr>
          <w:rFonts w:ascii="Arial" w:hAnsi="Arial" w:cs="Arial"/>
          <w:sz w:val="24"/>
          <w:szCs w:val="24"/>
        </w:rPr>
      </w:pPr>
      <w:r w:rsidRPr="003702EC">
        <w:rPr>
          <w:rFonts w:ascii="Arial" w:hAnsi="Arial" w:cs="Arial"/>
          <w:sz w:val="24"/>
          <w:szCs w:val="24"/>
        </w:rPr>
        <w:t>P</w:t>
      </w:r>
      <w:r w:rsidR="00CF5885" w:rsidRPr="003702EC">
        <w:rPr>
          <w:rFonts w:ascii="Arial" w:hAnsi="Arial" w:cs="Arial"/>
          <w:sz w:val="24"/>
          <w:szCs w:val="24"/>
        </w:rPr>
        <w:t xml:space="preserve">ara integración de carpetas de investigación con motivo de denuncias. </w:t>
      </w:r>
    </w:p>
    <w:p w:rsidR="00CF5885" w:rsidRPr="003702EC" w:rsidRDefault="00CF5885" w:rsidP="003702EC">
      <w:pPr>
        <w:pStyle w:val="Prrafodelista"/>
        <w:numPr>
          <w:ilvl w:val="0"/>
          <w:numId w:val="11"/>
        </w:numPr>
        <w:spacing w:after="0" w:line="240" w:lineRule="auto"/>
        <w:jc w:val="both"/>
        <w:rPr>
          <w:rFonts w:ascii="Arial" w:hAnsi="Arial" w:cs="Arial"/>
          <w:sz w:val="24"/>
          <w:szCs w:val="24"/>
        </w:rPr>
      </w:pPr>
      <w:r w:rsidRPr="003702EC">
        <w:rPr>
          <w:rFonts w:ascii="Arial" w:hAnsi="Arial" w:cs="Arial"/>
          <w:sz w:val="24"/>
          <w:szCs w:val="24"/>
        </w:rPr>
        <w:t>Requerimientos de información de la Fiscalía</w:t>
      </w:r>
      <w:r w:rsidR="003702EC">
        <w:rPr>
          <w:rFonts w:ascii="Arial" w:hAnsi="Arial" w:cs="Arial"/>
          <w:sz w:val="24"/>
          <w:szCs w:val="24"/>
        </w:rPr>
        <w:t>.</w:t>
      </w:r>
      <w:r w:rsidRPr="003702EC">
        <w:rPr>
          <w:rFonts w:ascii="Arial" w:hAnsi="Arial" w:cs="Arial"/>
          <w:sz w:val="24"/>
          <w:szCs w:val="24"/>
        </w:rPr>
        <w:t xml:space="preserve"> </w:t>
      </w:r>
    </w:p>
    <w:p w:rsidR="00CF5885" w:rsidRDefault="00CF5885" w:rsidP="003702EC">
      <w:pPr>
        <w:spacing w:after="0"/>
        <w:jc w:val="both"/>
        <w:rPr>
          <w:rFonts w:ascii="Arial" w:hAnsi="Arial" w:cs="Arial"/>
          <w:sz w:val="24"/>
          <w:szCs w:val="24"/>
        </w:rPr>
      </w:pPr>
    </w:p>
    <w:p w:rsidR="00CF5885" w:rsidRDefault="00CF5885" w:rsidP="003702EC">
      <w:pPr>
        <w:spacing w:after="0"/>
        <w:jc w:val="both"/>
        <w:rPr>
          <w:rFonts w:ascii="Arial" w:hAnsi="Arial" w:cs="Arial"/>
          <w:sz w:val="24"/>
          <w:szCs w:val="24"/>
        </w:rPr>
      </w:pPr>
      <w:r>
        <w:rPr>
          <w:rFonts w:ascii="Arial" w:hAnsi="Arial" w:cs="Arial"/>
          <w:sz w:val="24"/>
          <w:szCs w:val="24"/>
        </w:rPr>
        <w:t>C</w:t>
      </w:r>
      <w:r w:rsidR="008D6B69">
        <w:rPr>
          <w:rFonts w:ascii="Arial" w:hAnsi="Arial" w:cs="Arial"/>
          <w:sz w:val="24"/>
          <w:szCs w:val="24"/>
        </w:rPr>
        <w:t xml:space="preserve">omisión </w:t>
      </w:r>
      <w:r>
        <w:rPr>
          <w:rFonts w:ascii="Arial" w:hAnsi="Arial" w:cs="Arial"/>
          <w:sz w:val="24"/>
          <w:szCs w:val="24"/>
        </w:rPr>
        <w:t>E</w:t>
      </w:r>
      <w:r w:rsidR="008D6B69">
        <w:rPr>
          <w:rFonts w:ascii="Arial" w:hAnsi="Arial" w:cs="Arial"/>
          <w:sz w:val="24"/>
          <w:szCs w:val="24"/>
        </w:rPr>
        <w:t xml:space="preserve">statal de Derechos Humanos: </w:t>
      </w:r>
      <w:r>
        <w:rPr>
          <w:rFonts w:ascii="Arial" w:hAnsi="Arial" w:cs="Arial"/>
          <w:sz w:val="24"/>
          <w:szCs w:val="24"/>
        </w:rPr>
        <w:t xml:space="preserve"> </w:t>
      </w:r>
    </w:p>
    <w:p w:rsidR="003702EC" w:rsidRDefault="00CF5885" w:rsidP="003702EC">
      <w:pPr>
        <w:pStyle w:val="Prrafodelista"/>
        <w:numPr>
          <w:ilvl w:val="0"/>
          <w:numId w:val="11"/>
        </w:numPr>
        <w:spacing w:after="0"/>
        <w:jc w:val="both"/>
        <w:rPr>
          <w:rFonts w:ascii="Arial" w:hAnsi="Arial" w:cs="Arial"/>
          <w:sz w:val="24"/>
          <w:szCs w:val="24"/>
        </w:rPr>
      </w:pPr>
      <w:r w:rsidRPr="00D51192">
        <w:rPr>
          <w:rFonts w:ascii="Arial" w:hAnsi="Arial" w:cs="Arial"/>
          <w:sz w:val="24"/>
          <w:szCs w:val="24"/>
        </w:rPr>
        <w:t>Seguimiento e integración de quejas presentadas ante dicho organismo</w:t>
      </w:r>
    </w:p>
    <w:p w:rsidR="00D51192" w:rsidRPr="00D51192" w:rsidRDefault="00D51192" w:rsidP="00D51192">
      <w:pPr>
        <w:spacing w:after="0"/>
        <w:ind w:left="360"/>
        <w:jc w:val="both"/>
        <w:rPr>
          <w:rFonts w:ascii="Arial" w:hAnsi="Arial" w:cs="Arial"/>
          <w:sz w:val="24"/>
          <w:szCs w:val="24"/>
        </w:rPr>
      </w:pPr>
    </w:p>
    <w:p w:rsidR="00CF5885" w:rsidRDefault="00CF5885" w:rsidP="003702EC">
      <w:pPr>
        <w:spacing w:after="0"/>
        <w:jc w:val="both"/>
        <w:rPr>
          <w:rFonts w:ascii="Arial" w:hAnsi="Arial" w:cs="Arial"/>
          <w:sz w:val="24"/>
          <w:szCs w:val="24"/>
        </w:rPr>
      </w:pPr>
      <w:r>
        <w:rPr>
          <w:rFonts w:ascii="Arial" w:hAnsi="Arial" w:cs="Arial"/>
          <w:sz w:val="24"/>
          <w:szCs w:val="24"/>
        </w:rPr>
        <w:t>F</w:t>
      </w:r>
      <w:r w:rsidR="008D6B69">
        <w:rPr>
          <w:rFonts w:ascii="Arial" w:hAnsi="Arial" w:cs="Arial"/>
          <w:sz w:val="24"/>
          <w:szCs w:val="24"/>
        </w:rPr>
        <w:t xml:space="preserve">iscalía </w:t>
      </w:r>
      <w:r w:rsidR="006E2366">
        <w:rPr>
          <w:rFonts w:ascii="Arial" w:hAnsi="Arial" w:cs="Arial"/>
          <w:sz w:val="24"/>
          <w:szCs w:val="24"/>
        </w:rPr>
        <w:t>Especializada en el Combate a la Corrupción</w:t>
      </w:r>
      <w:r>
        <w:rPr>
          <w:rFonts w:ascii="Arial" w:hAnsi="Arial" w:cs="Arial"/>
          <w:sz w:val="24"/>
          <w:szCs w:val="24"/>
        </w:rPr>
        <w:t xml:space="preserve">: </w:t>
      </w:r>
    </w:p>
    <w:p w:rsidR="00CF5885" w:rsidRPr="006E2366" w:rsidRDefault="006E2366" w:rsidP="006E2366">
      <w:pPr>
        <w:pStyle w:val="Prrafodelista"/>
        <w:numPr>
          <w:ilvl w:val="0"/>
          <w:numId w:val="11"/>
        </w:numPr>
        <w:spacing w:after="0"/>
        <w:jc w:val="both"/>
        <w:rPr>
          <w:rFonts w:ascii="Arial" w:hAnsi="Arial" w:cs="Arial"/>
          <w:sz w:val="24"/>
          <w:szCs w:val="24"/>
        </w:rPr>
      </w:pPr>
      <w:r>
        <w:rPr>
          <w:rFonts w:ascii="Arial" w:hAnsi="Arial" w:cs="Arial"/>
          <w:sz w:val="24"/>
          <w:szCs w:val="24"/>
        </w:rPr>
        <w:t xml:space="preserve">Integración de carpeta de investigación en materia de delitos de corrupción. </w:t>
      </w:r>
    </w:p>
    <w:p w:rsidR="008D6B69" w:rsidRPr="003702EC" w:rsidRDefault="008D6B69" w:rsidP="003702EC">
      <w:pPr>
        <w:pStyle w:val="Prrafodelista"/>
        <w:numPr>
          <w:ilvl w:val="0"/>
          <w:numId w:val="11"/>
        </w:numPr>
        <w:spacing w:after="0"/>
        <w:jc w:val="both"/>
        <w:rPr>
          <w:rFonts w:ascii="Arial" w:hAnsi="Arial" w:cs="Arial"/>
          <w:sz w:val="24"/>
          <w:szCs w:val="24"/>
        </w:rPr>
      </w:pPr>
      <w:r w:rsidRPr="003702EC">
        <w:rPr>
          <w:rFonts w:ascii="Arial" w:hAnsi="Arial" w:cs="Arial"/>
          <w:sz w:val="24"/>
          <w:szCs w:val="24"/>
        </w:rPr>
        <w:t>Requerimientos de información</w:t>
      </w:r>
    </w:p>
    <w:p w:rsidR="003702EC" w:rsidRDefault="003702EC" w:rsidP="003702EC">
      <w:pPr>
        <w:spacing w:after="0"/>
        <w:jc w:val="both"/>
        <w:rPr>
          <w:rFonts w:ascii="Arial" w:hAnsi="Arial" w:cs="Arial"/>
          <w:sz w:val="24"/>
          <w:szCs w:val="24"/>
        </w:rPr>
      </w:pPr>
    </w:p>
    <w:p w:rsidR="00CF5885" w:rsidRDefault="00CF5885" w:rsidP="003702EC">
      <w:pPr>
        <w:spacing w:after="0"/>
        <w:jc w:val="both"/>
        <w:rPr>
          <w:rFonts w:ascii="Arial" w:hAnsi="Arial" w:cs="Arial"/>
          <w:sz w:val="24"/>
          <w:szCs w:val="24"/>
        </w:rPr>
      </w:pPr>
      <w:r>
        <w:rPr>
          <w:rFonts w:ascii="Arial" w:hAnsi="Arial" w:cs="Arial"/>
          <w:sz w:val="24"/>
          <w:szCs w:val="24"/>
        </w:rPr>
        <w:t>C</w:t>
      </w:r>
      <w:r w:rsidR="008D6B69">
        <w:rPr>
          <w:rFonts w:ascii="Arial" w:hAnsi="Arial" w:cs="Arial"/>
          <w:sz w:val="24"/>
          <w:szCs w:val="24"/>
        </w:rPr>
        <w:t>ontraloría del Estado:</w:t>
      </w:r>
    </w:p>
    <w:p w:rsidR="00CF5885" w:rsidRPr="003702EC" w:rsidRDefault="006E2366" w:rsidP="003702EC">
      <w:pPr>
        <w:pStyle w:val="Prrafodelista"/>
        <w:numPr>
          <w:ilvl w:val="0"/>
          <w:numId w:val="13"/>
        </w:numPr>
        <w:spacing w:after="0"/>
        <w:jc w:val="both"/>
        <w:rPr>
          <w:rFonts w:ascii="Arial" w:hAnsi="Arial" w:cs="Arial"/>
          <w:sz w:val="24"/>
          <w:szCs w:val="24"/>
        </w:rPr>
      </w:pPr>
      <w:r>
        <w:rPr>
          <w:rFonts w:ascii="Arial" w:hAnsi="Arial" w:cs="Arial"/>
          <w:sz w:val="24"/>
          <w:szCs w:val="24"/>
        </w:rPr>
        <w:t>Notificaciones y s</w:t>
      </w:r>
      <w:r w:rsidR="00CF5885" w:rsidRPr="003702EC">
        <w:rPr>
          <w:rFonts w:ascii="Arial" w:hAnsi="Arial" w:cs="Arial"/>
          <w:sz w:val="24"/>
          <w:szCs w:val="24"/>
        </w:rPr>
        <w:t xml:space="preserve">eguimiento de auditorías </w:t>
      </w:r>
    </w:p>
    <w:p w:rsidR="003702EC" w:rsidRPr="006E2366" w:rsidRDefault="006E2366" w:rsidP="006E2366">
      <w:pPr>
        <w:pStyle w:val="Prrafodelista"/>
        <w:numPr>
          <w:ilvl w:val="0"/>
          <w:numId w:val="13"/>
        </w:numPr>
        <w:jc w:val="both"/>
        <w:rPr>
          <w:rFonts w:ascii="Arial" w:hAnsi="Arial" w:cs="Arial"/>
          <w:sz w:val="24"/>
          <w:szCs w:val="24"/>
        </w:rPr>
      </w:pPr>
      <w:r>
        <w:rPr>
          <w:rFonts w:ascii="Arial" w:hAnsi="Arial" w:cs="Arial"/>
          <w:sz w:val="24"/>
          <w:szCs w:val="24"/>
        </w:rPr>
        <w:t>Notificación de inscripción al Sistema de Evolución Patrimonial de Declaraciones de Interés y Constancia de presentación de Declaración Fiscal de la Administración Pública del Estado de Jalisco.</w:t>
      </w:r>
    </w:p>
    <w:p w:rsidR="006E2366" w:rsidRDefault="006E2366" w:rsidP="003702EC">
      <w:pPr>
        <w:spacing w:after="0"/>
        <w:jc w:val="both"/>
        <w:rPr>
          <w:rFonts w:ascii="Arial" w:hAnsi="Arial" w:cs="Arial"/>
          <w:sz w:val="24"/>
          <w:szCs w:val="24"/>
        </w:rPr>
      </w:pPr>
      <w:r>
        <w:rPr>
          <w:rFonts w:ascii="Arial" w:hAnsi="Arial" w:cs="Arial"/>
          <w:sz w:val="24"/>
          <w:szCs w:val="24"/>
        </w:rPr>
        <w:t xml:space="preserve">Tribunal de Justicia Administrativa del Estado de Jalisco </w:t>
      </w:r>
    </w:p>
    <w:p w:rsidR="006E2366" w:rsidRPr="006E2366" w:rsidRDefault="006E2366" w:rsidP="006E2366">
      <w:pPr>
        <w:pStyle w:val="Prrafodelista"/>
        <w:numPr>
          <w:ilvl w:val="0"/>
          <w:numId w:val="14"/>
        </w:numPr>
        <w:spacing w:after="0"/>
        <w:jc w:val="both"/>
        <w:rPr>
          <w:rFonts w:ascii="Arial" w:hAnsi="Arial" w:cs="Arial"/>
          <w:sz w:val="24"/>
          <w:szCs w:val="24"/>
        </w:rPr>
      </w:pPr>
      <w:r>
        <w:rPr>
          <w:rFonts w:ascii="Arial" w:hAnsi="Arial" w:cs="Arial"/>
          <w:sz w:val="24"/>
          <w:szCs w:val="24"/>
        </w:rPr>
        <w:t>Para efectos de determinación de falta grave y en su caso para continuidad del procedimiento de responsabilidad administrativa y emisión de la resolución correspondiente</w:t>
      </w:r>
    </w:p>
    <w:p w:rsidR="006E2366" w:rsidRDefault="006E2366" w:rsidP="003702EC">
      <w:pPr>
        <w:spacing w:after="0"/>
        <w:jc w:val="both"/>
        <w:rPr>
          <w:rFonts w:ascii="Arial" w:hAnsi="Arial" w:cs="Arial"/>
          <w:sz w:val="24"/>
          <w:szCs w:val="24"/>
        </w:rPr>
      </w:pPr>
    </w:p>
    <w:p w:rsidR="007C604E" w:rsidRDefault="00CF5885" w:rsidP="003702EC">
      <w:pPr>
        <w:spacing w:after="0"/>
        <w:jc w:val="both"/>
        <w:rPr>
          <w:rFonts w:ascii="Arial" w:hAnsi="Arial" w:cs="Arial"/>
          <w:sz w:val="24"/>
          <w:szCs w:val="24"/>
        </w:rPr>
      </w:pPr>
      <w:r>
        <w:rPr>
          <w:rFonts w:ascii="Arial" w:hAnsi="Arial" w:cs="Arial"/>
          <w:sz w:val="24"/>
          <w:szCs w:val="24"/>
        </w:rPr>
        <w:t>A</w:t>
      </w:r>
      <w:r w:rsidR="007C604E">
        <w:rPr>
          <w:rFonts w:ascii="Arial" w:hAnsi="Arial" w:cs="Arial"/>
          <w:sz w:val="24"/>
          <w:szCs w:val="24"/>
        </w:rPr>
        <w:t xml:space="preserve">uditoría Superior de la Federación </w:t>
      </w:r>
    </w:p>
    <w:p w:rsidR="00CF5885" w:rsidRDefault="007C604E" w:rsidP="003702EC">
      <w:pPr>
        <w:pStyle w:val="Prrafodelista"/>
        <w:numPr>
          <w:ilvl w:val="0"/>
          <w:numId w:val="13"/>
        </w:numPr>
        <w:spacing w:after="0"/>
        <w:jc w:val="both"/>
        <w:rPr>
          <w:rFonts w:ascii="Arial" w:hAnsi="Arial" w:cs="Arial"/>
          <w:sz w:val="24"/>
          <w:szCs w:val="24"/>
        </w:rPr>
      </w:pPr>
      <w:r w:rsidRPr="003702EC">
        <w:rPr>
          <w:rFonts w:ascii="Arial" w:hAnsi="Arial" w:cs="Arial"/>
          <w:sz w:val="24"/>
          <w:szCs w:val="24"/>
        </w:rPr>
        <w:t>Seg</w:t>
      </w:r>
      <w:r w:rsidR="00CF5885" w:rsidRPr="003702EC">
        <w:rPr>
          <w:rFonts w:ascii="Arial" w:hAnsi="Arial" w:cs="Arial"/>
          <w:sz w:val="24"/>
          <w:szCs w:val="24"/>
        </w:rPr>
        <w:t>uimiento de auditorias</w:t>
      </w:r>
    </w:p>
    <w:p w:rsidR="003702EC" w:rsidRPr="003702EC" w:rsidRDefault="003702EC" w:rsidP="003702EC">
      <w:pPr>
        <w:pStyle w:val="Prrafodelista"/>
        <w:spacing w:after="0"/>
        <w:jc w:val="both"/>
        <w:rPr>
          <w:rFonts w:ascii="Arial" w:hAnsi="Arial" w:cs="Arial"/>
          <w:sz w:val="24"/>
          <w:szCs w:val="24"/>
        </w:rPr>
      </w:pPr>
    </w:p>
    <w:p w:rsidR="008D6B69" w:rsidRDefault="00CF5885" w:rsidP="003702EC">
      <w:pPr>
        <w:spacing w:after="0"/>
        <w:jc w:val="both"/>
        <w:rPr>
          <w:rFonts w:ascii="Arial" w:hAnsi="Arial" w:cs="Arial"/>
          <w:sz w:val="24"/>
          <w:szCs w:val="24"/>
        </w:rPr>
      </w:pPr>
      <w:r>
        <w:rPr>
          <w:rFonts w:ascii="Arial" w:hAnsi="Arial" w:cs="Arial"/>
          <w:sz w:val="24"/>
          <w:szCs w:val="24"/>
        </w:rPr>
        <w:t>J</w:t>
      </w:r>
      <w:r w:rsidR="007C604E">
        <w:rPr>
          <w:rFonts w:ascii="Arial" w:hAnsi="Arial" w:cs="Arial"/>
          <w:sz w:val="24"/>
          <w:szCs w:val="24"/>
        </w:rPr>
        <w:t xml:space="preserve">uzgados del Fuero Común, </w:t>
      </w:r>
      <w:r>
        <w:rPr>
          <w:rFonts w:ascii="Arial" w:hAnsi="Arial" w:cs="Arial"/>
          <w:sz w:val="24"/>
          <w:szCs w:val="24"/>
        </w:rPr>
        <w:t>T</w:t>
      </w:r>
      <w:r w:rsidR="007C604E">
        <w:rPr>
          <w:rFonts w:ascii="Arial" w:hAnsi="Arial" w:cs="Arial"/>
          <w:sz w:val="24"/>
          <w:szCs w:val="24"/>
        </w:rPr>
        <w:t>ribunales del Estado</w:t>
      </w:r>
      <w:r>
        <w:rPr>
          <w:rFonts w:ascii="Arial" w:hAnsi="Arial" w:cs="Arial"/>
          <w:sz w:val="24"/>
          <w:szCs w:val="24"/>
        </w:rPr>
        <w:t>, J</w:t>
      </w:r>
      <w:r w:rsidR="007C604E">
        <w:rPr>
          <w:rFonts w:ascii="Arial" w:hAnsi="Arial" w:cs="Arial"/>
          <w:sz w:val="24"/>
          <w:szCs w:val="24"/>
        </w:rPr>
        <w:t xml:space="preserve">uzgados de Distrito y Tribunales Colegiados de Circuito </w:t>
      </w:r>
    </w:p>
    <w:p w:rsidR="00CF5885" w:rsidRPr="003702EC" w:rsidRDefault="00CF5885" w:rsidP="003702EC">
      <w:pPr>
        <w:pStyle w:val="Prrafodelista"/>
        <w:numPr>
          <w:ilvl w:val="0"/>
          <w:numId w:val="13"/>
        </w:numPr>
        <w:spacing w:after="0" w:line="240" w:lineRule="auto"/>
        <w:ind w:right="49"/>
        <w:jc w:val="both"/>
        <w:rPr>
          <w:rFonts w:ascii="Arial" w:hAnsi="Arial" w:cs="Arial"/>
          <w:color w:val="000000" w:themeColor="text1"/>
          <w:sz w:val="24"/>
          <w:szCs w:val="24"/>
        </w:rPr>
      </w:pPr>
      <w:r w:rsidRPr="003702EC">
        <w:rPr>
          <w:rFonts w:ascii="Arial" w:hAnsi="Arial" w:cs="Arial"/>
          <w:sz w:val="24"/>
          <w:szCs w:val="24"/>
        </w:rPr>
        <w:t>Seguimiento de procesos y juicios ante dichas autoridades</w:t>
      </w:r>
    </w:p>
    <w:p w:rsidR="00CF5885" w:rsidRDefault="00CF5885" w:rsidP="003702EC">
      <w:pPr>
        <w:spacing w:after="0" w:line="240" w:lineRule="auto"/>
        <w:ind w:left="720" w:right="49"/>
        <w:contextualSpacing/>
        <w:jc w:val="both"/>
        <w:rPr>
          <w:rFonts w:ascii="Arial" w:hAnsi="Arial" w:cs="Arial"/>
          <w:color w:val="000000" w:themeColor="text1"/>
          <w:sz w:val="24"/>
          <w:szCs w:val="24"/>
        </w:rPr>
      </w:pPr>
    </w:p>
    <w:p w:rsidR="00FB33E8" w:rsidRPr="00CF5885" w:rsidRDefault="00FB33E8" w:rsidP="003702EC">
      <w:pPr>
        <w:spacing w:after="0" w:line="240" w:lineRule="auto"/>
        <w:ind w:left="720" w:right="49"/>
        <w:contextualSpacing/>
        <w:jc w:val="both"/>
        <w:rPr>
          <w:rFonts w:ascii="Arial" w:hAnsi="Arial" w:cs="Arial"/>
          <w:color w:val="000000" w:themeColor="text1"/>
          <w:sz w:val="24"/>
          <w:szCs w:val="24"/>
        </w:rPr>
      </w:pPr>
      <w:bookmarkStart w:id="0" w:name="_GoBack"/>
      <w:bookmarkEnd w:id="0"/>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Default="00DF42C0" w:rsidP="00DF42C0">
      <w:pPr>
        <w:spacing w:after="0" w:line="240" w:lineRule="auto"/>
        <w:jc w:val="both"/>
        <w:rPr>
          <w:rFonts w:ascii="Arial" w:hAnsi="Arial" w:cs="Arial"/>
          <w:b/>
          <w:sz w:val="28"/>
          <w:szCs w:val="28"/>
        </w:rPr>
      </w:pPr>
    </w:p>
    <w:p w:rsidR="00DB0D89" w:rsidRPr="00DF42C0" w:rsidRDefault="00DB0D89" w:rsidP="00DF42C0">
      <w:pPr>
        <w:spacing w:after="0" w:line="240" w:lineRule="auto"/>
        <w:jc w:val="both"/>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hyperlink r:id="rId9" w:history="1">
        <w:r w:rsidRPr="00DF42C0">
          <w:rPr>
            <w:rFonts w:ascii="Arial" w:hAnsi="Arial" w:cs="Arial"/>
            <w:color w:val="0563C1" w:themeColor="hyperlink"/>
            <w:sz w:val="24"/>
            <w:szCs w:val="24"/>
            <w:u w:val="single"/>
          </w:rPr>
          <w:t>www.hcg.udg.mx</w:t>
        </w:r>
      </w:hyperlink>
    </w:p>
    <w:p w:rsidR="00DB0D89" w:rsidRDefault="00DB0D89"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DF42C0">
      <w:pPr>
        <w:spacing w:after="0" w:line="240" w:lineRule="auto"/>
        <w:ind w:right="49"/>
        <w:jc w:val="both"/>
        <w:rPr>
          <w:rFonts w:ascii="Arial" w:hAnsi="Arial" w:cs="Arial"/>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hyperlink r:id="rId10" w:history="1">
        <w:r w:rsidRPr="00DF42C0">
          <w:rPr>
            <w:rFonts w:ascii="Arial" w:hAnsi="Arial" w:cs="Arial"/>
            <w:color w:val="0563C1" w:themeColor="hyperlink"/>
            <w:sz w:val="24"/>
            <w:szCs w:val="24"/>
            <w:u w:val="single"/>
          </w:rPr>
          <w:t>www.hcg.udg.mx</w:t>
        </w:r>
      </w:hyperlink>
      <w:r w:rsidRPr="00DF42C0">
        <w:rPr>
          <w:rFonts w:ascii="Arial" w:hAnsi="Arial" w:cs="Arial"/>
          <w:sz w:val="24"/>
          <w:szCs w:val="24"/>
        </w:rPr>
        <w:t>.</w:t>
      </w:r>
    </w:p>
    <w:p w:rsidR="00DF42C0" w:rsidRPr="00DF42C0" w:rsidRDefault="00DF42C0" w:rsidP="00DF42C0">
      <w:pPr>
        <w:spacing w:after="0" w:line="360" w:lineRule="auto"/>
        <w:jc w:val="center"/>
        <w:rPr>
          <w:rFonts w:ascii="Arial" w:hAnsi="Arial" w:cs="Arial"/>
          <w:color w:val="000000"/>
          <w:sz w:val="24"/>
          <w:szCs w:val="24"/>
        </w:rPr>
      </w:pPr>
    </w:p>
    <w:p w:rsidR="00DF42C0" w:rsidRPr="00DF42C0" w:rsidRDefault="00DF42C0" w:rsidP="00DF42C0">
      <w:pPr>
        <w:spacing w:after="0" w:line="240" w:lineRule="auto"/>
        <w:jc w:val="center"/>
        <w:rPr>
          <w:rFonts w:ascii="Arial" w:hAnsi="Arial" w:cs="Arial"/>
          <w:color w:val="000000"/>
          <w:sz w:val="28"/>
          <w:szCs w:val="28"/>
        </w:rPr>
      </w:pPr>
    </w:p>
    <w:p w:rsidR="00DF42C0" w:rsidRPr="00DF42C0" w:rsidRDefault="00DF42C0" w:rsidP="00DF42C0">
      <w:pPr>
        <w:spacing w:after="0" w:line="240" w:lineRule="auto"/>
        <w:jc w:val="center"/>
        <w:rPr>
          <w:rFonts w:ascii="Arial" w:hAnsi="Arial" w:cs="Arial"/>
          <w:b/>
          <w:sz w:val="28"/>
          <w:szCs w:val="28"/>
        </w:rPr>
      </w:pPr>
      <w:r w:rsidRPr="00DF42C0">
        <w:rPr>
          <w:rFonts w:ascii="Arial" w:hAnsi="Arial" w:cs="Arial"/>
          <w:b/>
          <w:color w:val="000000"/>
          <w:sz w:val="28"/>
          <w:szCs w:val="28"/>
        </w:rPr>
        <w:t>Coordinación General de Mejora Regulatoria y Transparencia.</w:t>
      </w:r>
      <w:r w:rsidRPr="00DF42C0">
        <w:rPr>
          <w:rFonts w:ascii="Arial" w:hAnsi="Arial" w:cs="Arial"/>
          <w:b/>
          <w:color w:val="000000"/>
          <w:sz w:val="28"/>
          <w:szCs w:val="28"/>
        </w:rPr>
        <w:br/>
        <w:t>Coronel Calderón #777, Col El Retiro. Guadalajara Jal.</w:t>
      </w:r>
    </w:p>
    <w:p w:rsidR="00DF42C0" w:rsidRPr="00DF42C0" w:rsidRDefault="00DF42C0" w:rsidP="00DF42C0">
      <w:pPr>
        <w:spacing w:after="0" w:line="240" w:lineRule="auto"/>
        <w:jc w:val="center"/>
        <w:rPr>
          <w:rFonts w:ascii="Arial" w:hAnsi="Arial" w:cs="Arial"/>
          <w:b/>
          <w:color w:val="000000"/>
          <w:sz w:val="28"/>
          <w:szCs w:val="28"/>
        </w:rPr>
      </w:pPr>
      <w:r w:rsidRPr="00DF42C0">
        <w:rPr>
          <w:rFonts w:ascii="Arial" w:hAnsi="Arial" w:cs="Arial"/>
          <w:b/>
          <w:color w:val="000000"/>
          <w:sz w:val="28"/>
          <w:szCs w:val="28"/>
        </w:rPr>
        <w:t>Correo electrónico: transparencia@hcg.gob.mx</w:t>
      </w:r>
    </w:p>
    <w:p w:rsidR="00DF42C0" w:rsidRPr="00DF42C0" w:rsidRDefault="00DF42C0" w:rsidP="00A243A5">
      <w:pPr>
        <w:spacing w:after="0" w:line="240" w:lineRule="auto"/>
        <w:jc w:val="center"/>
        <w:rPr>
          <w:sz w:val="24"/>
          <w:szCs w:val="24"/>
        </w:rPr>
      </w:pPr>
      <w:r w:rsidRPr="00DF42C0">
        <w:rPr>
          <w:rFonts w:ascii="Arial" w:hAnsi="Arial" w:cs="Arial"/>
          <w:b/>
          <w:color w:val="000000"/>
          <w:sz w:val="28"/>
          <w:szCs w:val="28"/>
        </w:rPr>
        <w:t>Tel. (33) 39 42 4420 y 39 42 4400 ext. 41135.</w:t>
      </w:r>
    </w:p>
    <w:sectPr w:rsidR="00DF42C0" w:rsidRPr="00DF42C0" w:rsidSect="0051363D">
      <w:headerReference w:type="default" r:id="rId11"/>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1B" w:rsidRDefault="00E5081B" w:rsidP="0038030A">
      <w:pPr>
        <w:spacing w:after="0" w:line="240" w:lineRule="auto"/>
      </w:pPr>
      <w:r>
        <w:separator/>
      </w:r>
    </w:p>
  </w:endnote>
  <w:endnote w:type="continuationSeparator" w:id="0">
    <w:p w:rsidR="00E5081B" w:rsidRDefault="00E5081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1B" w:rsidRDefault="00E5081B" w:rsidP="0038030A">
      <w:pPr>
        <w:spacing w:after="0" w:line="240" w:lineRule="auto"/>
      </w:pPr>
      <w:r>
        <w:separator/>
      </w:r>
    </w:p>
  </w:footnote>
  <w:footnote w:type="continuationSeparator" w:id="0">
    <w:p w:rsidR="00E5081B" w:rsidRDefault="00E5081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3E571480" wp14:editId="2DBA4BE4">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006"/>
    <w:multiLevelType w:val="hybridMultilevel"/>
    <w:tmpl w:val="6352C9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6D2F96"/>
    <w:multiLevelType w:val="hybridMultilevel"/>
    <w:tmpl w:val="B4662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B57D1C"/>
    <w:multiLevelType w:val="hybridMultilevel"/>
    <w:tmpl w:val="BDBC5E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43557D"/>
    <w:multiLevelType w:val="hybridMultilevel"/>
    <w:tmpl w:val="B978E0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8C198A"/>
    <w:multiLevelType w:val="hybridMultilevel"/>
    <w:tmpl w:val="70B416D6"/>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C53275"/>
    <w:multiLevelType w:val="hybridMultilevel"/>
    <w:tmpl w:val="E3A86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A97253"/>
    <w:multiLevelType w:val="hybridMultilevel"/>
    <w:tmpl w:val="41081E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743A5"/>
    <w:multiLevelType w:val="hybridMultilevel"/>
    <w:tmpl w:val="B83450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CF7F9F"/>
    <w:multiLevelType w:val="hybridMultilevel"/>
    <w:tmpl w:val="743C82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D14179"/>
    <w:multiLevelType w:val="hybridMultilevel"/>
    <w:tmpl w:val="1FAEC9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713CC5"/>
    <w:multiLevelType w:val="hybridMultilevel"/>
    <w:tmpl w:val="4B822E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8C65157"/>
    <w:multiLevelType w:val="hybridMultilevel"/>
    <w:tmpl w:val="67E089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D87CB6"/>
    <w:multiLevelType w:val="hybridMultilevel"/>
    <w:tmpl w:val="DFC658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7"/>
  </w:num>
  <w:num w:numId="5">
    <w:abstractNumId w:val="11"/>
  </w:num>
  <w:num w:numId="6">
    <w:abstractNumId w:val="3"/>
  </w:num>
  <w:num w:numId="7">
    <w:abstractNumId w:val="13"/>
  </w:num>
  <w:num w:numId="8">
    <w:abstractNumId w:val="6"/>
  </w:num>
  <w:num w:numId="9">
    <w:abstractNumId w:val="14"/>
  </w:num>
  <w:num w:numId="10">
    <w:abstractNumId w:val="1"/>
  </w:num>
  <w:num w:numId="11">
    <w:abstractNumId w:val="10"/>
  </w:num>
  <w:num w:numId="12">
    <w:abstractNumId w:val="9"/>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24AF5"/>
    <w:rsid w:val="000A758B"/>
    <w:rsid w:val="000C3C09"/>
    <w:rsid w:val="000E7B19"/>
    <w:rsid w:val="000F1E55"/>
    <w:rsid w:val="001031E5"/>
    <w:rsid w:val="00183623"/>
    <w:rsid w:val="001A1085"/>
    <w:rsid w:val="002144E8"/>
    <w:rsid w:val="00246B10"/>
    <w:rsid w:val="002B0BCF"/>
    <w:rsid w:val="00314BF1"/>
    <w:rsid w:val="00340187"/>
    <w:rsid w:val="003702EC"/>
    <w:rsid w:val="0038030A"/>
    <w:rsid w:val="00384ED6"/>
    <w:rsid w:val="00440DA8"/>
    <w:rsid w:val="00446BAA"/>
    <w:rsid w:val="00460DBE"/>
    <w:rsid w:val="004E1249"/>
    <w:rsid w:val="0050056D"/>
    <w:rsid w:val="0051363D"/>
    <w:rsid w:val="00525C8A"/>
    <w:rsid w:val="00597EFB"/>
    <w:rsid w:val="006157E9"/>
    <w:rsid w:val="0062156F"/>
    <w:rsid w:val="00673551"/>
    <w:rsid w:val="006B7454"/>
    <w:rsid w:val="006E2366"/>
    <w:rsid w:val="007673AD"/>
    <w:rsid w:val="007C604E"/>
    <w:rsid w:val="007C73C7"/>
    <w:rsid w:val="007D05B7"/>
    <w:rsid w:val="007F6DB7"/>
    <w:rsid w:val="008022C4"/>
    <w:rsid w:val="0081394F"/>
    <w:rsid w:val="00862C99"/>
    <w:rsid w:val="00863ACA"/>
    <w:rsid w:val="008A5AA3"/>
    <w:rsid w:val="008D6B69"/>
    <w:rsid w:val="00923DB4"/>
    <w:rsid w:val="009277DB"/>
    <w:rsid w:val="0093247B"/>
    <w:rsid w:val="00945875"/>
    <w:rsid w:val="00953492"/>
    <w:rsid w:val="009B6914"/>
    <w:rsid w:val="00A243A5"/>
    <w:rsid w:val="00A740A6"/>
    <w:rsid w:val="00AA6F37"/>
    <w:rsid w:val="00AD501C"/>
    <w:rsid w:val="00AE310E"/>
    <w:rsid w:val="00B022F4"/>
    <w:rsid w:val="00B1791D"/>
    <w:rsid w:val="00B70CFE"/>
    <w:rsid w:val="00BA0969"/>
    <w:rsid w:val="00BA75B6"/>
    <w:rsid w:val="00BC1281"/>
    <w:rsid w:val="00BE112F"/>
    <w:rsid w:val="00C021A6"/>
    <w:rsid w:val="00C16C34"/>
    <w:rsid w:val="00C3043B"/>
    <w:rsid w:val="00C31CAE"/>
    <w:rsid w:val="00CA3069"/>
    <w:rsid w:val="00CF307C"/>
    <w:rsid w:val="00CF5885"/>
    <w:rsid w:val="00D16667"/>
    <w:rsid w:val="00D51192"/>
    <w:rsid w:val="00D6517B"/>
    <w:rsid w:val="00D73D98"/>
    <w:rsid w:val="00D80690"/>
    <w:rsid w:val="00D923D6"/>
    <w:rsid w:val="00DB0D89"/>
    <w:rsid w:val="00DB4155"/>
    <w:rsid w:val="00DE4E1E"/>
    <w:rsid w:val="00DF2D10"/>
    <w:rsid w:val="00DF42C0"/>
    <w:rsid w:val="00DF7791"/>
    <w:rsid w:val="00E07981"/>
    <w:rsid w:val="00E5081B"/>
    <w:rsid w:val="00E666D4"/>
    <w:rsid w:val="00E73587"/>
    <w:rsid w:val="00E84C06"/>
    <w:rsid w:val="00EA54F8"/>
    <w:rsid w:val="00F67EBD"/>
    <w:rsid w:val="00FB33E8"/>
    <w:rsid w:val="00FF6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9A0D2-292E-49E2-9B96-EA36C93A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table" w:styleId="Tablaconcuadrcula">
    <w:name w:val="Table Grid"/>
    <w:basedOn w:val="Tablanormal"/>
    <w:uiPriority w:val="59"/>
    <w:rsid w:val="00CA3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2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cg.udg.mx" TargetMode="External"/><Relationship Id="rId4" Type="http://schemas.openxmlformats.org/officeDocument/2006/relationships/webSettings" Target="webSettings.xml"/><Relationship Id="rId9" Type="http://schemas.openxmlformats.org/officeDocument/2006/relationships/hyperlink" Target="http://www.hcg.ud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3</cp:revision>
  <cp:lastPrinted>2020-04-15T18:25:00Z</cp:lastPrinted>
  <dcterms:created xsi:type="dcterms:W3CDTF">2020-04-30T18:43:00Z</dcterms:created>
  <dcterms:modified xsi:type="dcterms:W3CDTF">2020-05-12T17:21:00Z</dcterms:modified>
</cp:coreProperties>
</file>